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00" w:lineRule="exact"/>
        <w:ind w:left="0" w:right="0" w:firstLine="480"/>
        <w:jc w:val="left"/>
      </w:pPr>
      <w:r>
        <w:rPr>
          <w:rFonts w:hint="eastAsia" w:ascii="宋体" w:hAnsi="宋体" w:eastAsia="宋体" w:cs="宋体"/>
          <w:color w:val="333333"/>
          <w:kern w:val="0"/>
          <w:sz w:val="24"/>
          <w:szCs w:val="24"/>
          <w:lang w:val="en-US" w:eastAsia="zh-CN" w:bidi="ar"/>
        </w:rPr>
        <w:t>招聘对象专业及条件</w:t>
      </w:r>
    </w:p>
    <w:tbl>
      <w:tblPr>
        <w:tblW w:w="9180" w:type="dxa"/>
        <w:jc w:val="center"/>
        <w:tblInd w:w="-252" w:type="dxa"/>
        <w:shd w:val="clear"/>
        <w:tblLayout w:type="fixed"/>
        <w:tblCellMar>
          <w:top w:w="0" w:type="dxa"/>
          <w:left w:w="108" w:type="dxa"/>
          <w:bottom w:w="0" w:type="dxa"/>
          <w:right w:w="108" w:type="dxa"/>
        </w:tblCellMar>
      </w:tblPr>
      <w:tblGrid>
        <w:gridCol w:w="1012"/>
        <w:gridCol w:w="4028"/>
        <w:gridCol w:w="4140"/>
      </w:tblGrid>
      <w:tr>
        <w:tblPrEx>
          <w:shd w:val="clear"/>
          <w:tblLayout w:type="fixed"/>
          <w:tblCellMar>
            <w:top w:w="0" w:type="dxa"/>
            <w:left w:w="108" w:type="dxa"/>
            <w:bottom w:w="0" w:type="dxa"/>
            <w:right w:w="108" w:type="dxa"/>
          </w:tblCellMar>
        </w:tblPrEx>
        <w:trPr>
          <w:trHeight w:val="600" w:hRule="atLeast"/>
          <w:jc w:val="center"/>
        </w:trPr>
        <w:tc>
          <w:tcPr>
            <w:tcW w:w="10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b/>
                <w:color w:val="333333"/>
                <w:kern w:val="0"/>
                <w:sz w:val="24"/>
                <w:szCs w:val="24"/>
                <w:bdr w:val="none" w:color="auto" w:sz="0" w:space="0"/>
                <w:lang w:val="en-US" w:eastAsia="zh-CN" w:bidi="ar"/>
              </w:rPr>
              <w:t> 招聘岗位</w:t>
            </w:r>
          </w:p>
        </w:tc>
        <w:tc>
          <w:tcPr>
            <w:tcW w:w="4028"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b/>
                <w:color w:val="333333"/>
                <w:kern w:val="0"/>
                <w:sz w:val="24"/>
                <w:szCs w:val="24"/>
                <w:bdr w:val="none" w:color="auto" w:sz="0" w:space="0"/>
                <w:lang w:val="en-US" w:eastAsia="zh-CN" w:bidi="ar"/>
              </w:rPr>
              <w:t>专业要求</w:t>
            </w:r>
          </w:p>
        </w:tc>
        <w:tc>
          <w:tcPr>
            <w:tcW w:w="414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b/>
                <w:color w:val="333333"/>
                <w:kern w:val="0"/>
                <w:sz w:val="24"/>
                <w:szCs w:val="24"/>
                <w:bdr w:val="none" w:color="auto" w:sz="0" w:space="0"/>
                <w:lang w:val="en-US" w:eastAsia="zh-CN" w:bidi="ar"/>
              </w:rPr>
              <w:t>资格条件</w:t>
            </w:r>
          </w:p>
        </w:tc>
      </w:tr>
      <w:tr>
        <w:tblPrEx>
          <w:shd w:val="clear"/>
          <w:tblLayout w:type="fixed"/>
          <w:tblCellMar>
            <w:top w:w="0" w:type="dxa"/>
            <w:left w:w="108" w:type="dxa"/>
            <w:bottom w:w="0" w:type="dxa"/>
            <w:right w:w="108" w:type="dxa"/>
          </w:tblCellMar>
        </w:tblPrEx>
        <w:trPr>
          <w:trHeight w:val="645" w:hRule="atLeast"/>
          <w:jc w:val="center"/>
        </w:trPr>
        <w:tc>
          <w:tcPr>
            <w:tcW w:w="1012"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职高影视后期制作</w:t>
            </w:r>
          </w:p>
        </w:tc>
        <w:tc>
          <w:tcPr>
            <w:tcW w:w="4028"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计算机科学与技术、教育技术学、数字媒体技术</w:t>
            </w:r>
          </w:p>
        </w:tc>
        <w:tc>
          <w:tcPr>
            <w:tcW w:w="41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全日制本科及以上学历，且具有学士及以上学位，户籍不限，其中全日制研究生学历需本、硕连读且专业一致。</w:t>
            </w:r>
          </w:p>
        </w:tc>
      </w:tr>
      <w:tr>
        <w:tblPrEx>
          <w:shd w:val="clear"/>
          <w:tblLayout w:type="fixed"/>
          <w:tblCellMar>
            <w:top w:w="0" w:type="dxa"/>
            <w:left w:w="108" w:type="dxa"/>
            <w:bottom w:w="0" w:type="dxa"/>
            <w:right w:w="108" w:type="dxa"/>
          </w:tblCellMar>
        </w:tblPrEx>
        <w:trPr>
          <w:trHeight w:val="584" w:hRule="atLeast"/>
          <w:jc w:val="center"/>
        </w:trPr>
        <w:tc>
          <w:tcPr>
            <w:tcW w:w="1012"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职高</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港口机械</w:t>
            </w:r>
          </w:p>
        </w:tc>
        <w:tc>
          <w:tcPr>
            <w:tcW w:w="4028"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物流工程、电气工程及其自动化、机械电子工程</w:t>
            </w:r>
          </w:p>
        </w:tc>
        <w:tc>
          <w:tcPr>
            <w:tcW w:w="414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1387" w:hRule="atLeast"/>
          <w:jc w:val="center"/>
        </w:trPr>
        <w:tc>
          <w:tcPr>
            <w:tcW w:w="1012"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职高</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数控技术实训指导</w:t>
            </w:r>
          </w:p>
        </w:tc>
        <w:tc>
          <w:tcPr>
            <w:tcW w:w="4028"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机械设计制造及其自动化、机械工程及自动化、机械制造与自动化、机械设计与制造</w:t>
            </w:r>
          </w:p>
        </w:tc>
        <w:tc>
          <w:tcPr>
            <w:tcW w:w="41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年龄35周岁以下(1982年1月 1日以后出生)，专科及以上学历，具有技师或工程师以上职业资格或专业技术职称，户籍不限，且符合下列条件之一：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1.世界技能大赛国家集训队成员；</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2.获得全国职业院校或普通高校相关技能大赛二等奖及以上；</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3.获得省级职业院校或普通高校相关技能大赛一等奖；</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4.指导学生获得全国职业院校相关技能大赛一等奖的优秀指导教师。</w:t>
            </w:r>
          </w:p>
        </w:tc>
      </w:tr>
      <w:tr>
        <w:tblPrEx>
          <w:shd w:val="clear"/>
          <w:tblLayout w:type="fixed"/>
          <w:tblCellMar>
            <w:top w:w="0" w:type="dxa"/>
            <w:left w:w="108" w:type="dxa"/>
            <w:bottom w:w="0" w:type="dxa"/>
            <w:right w:w="108" w:type="dxa"/>
          </w:tblCellMar>
        </w:tblPrEx>
        <w:trPr>
          <w:trHeight w:val="1113" w:hRule="atLeast"/>
          <w:jc w:val="center"/>
        </w:trPr>
        <w:tc>
          <w:tcPr>
            <w:tcW w:w="1012"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职高</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汽车维修实训指导</w:t>
            </w:r>
          </w:p>
        </w:tc>
        <w:tc>
          <w:tcPr>
            <w:tcW w:w="4028"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车辆工程、汽车维修工程教育、汽车检测与维修技术、汽车制造与装配技术</w:t>
            </w:r>
          </w:p>
        </w:tc>
        <w:tc>
          <w:tcPr>
            <w:tcW w:w="4140" w:type="dxa"/>
            <w:vMerge w:val="continue"/>
            <w:tcBorders>
              <w:top w:val="nil"/>
              <w:left w:val="nil"/>
              <w:bottom w:val="single" w:color="000000" w:sz="8" w:space="0"/>
              <w:right w:val="single" w:color="000000" w:sz="8"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530"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333333"/>
                <w:kern w:val="0"/>
                <w:sz w:val="18"/>
                <w:szCs w:val="18"/>
                <w:bdr w:val="none" w:color="auto" w:sz="0" w:space="0"/>
                <w:lang w:val="en-US" w:eastAsia="zh-CN" w:bidi="ar"/>
              </w:rPr>
              <w:t>高中历史</w:t>
            </w:r>
          </w:p>
        </w:tc>
        <w:tc>
          <w:tcPr>
            <w:tcW w:w="40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333333"/>
                <w:kern w:val="0"/>
                <w:sz w:val="18"/>
                <w:szCs w:val="18"/>
                <w:bdr w:val="none" w:color="auto" w:sz="0" w:space="0"/>
                <w:lang w:val="en-US" w:eastAsia="zh-CN" w:bidi="ar"/>
              </w:rPr>
              <w:t>历史教育、历史学、史学理论及史学史、历史地理学</w:t>
            </w:r>
          </w:p>
        </w:tc>
        <w:tc>
          <w:tcPr>
            <w:tcW w:w="41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符合下列六项条件之一：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1.镇海区生源或户籍的2017全日制普通高校应届本科及以上毕业生；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2.本市生源或户籍的2017年全日制应届师范类本科毕业生（其中美术、音乐学科可非师范类）；</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3.本省生源或户籍的2017年全日制部属重点师范类大学（含浙师大）应届师范类本科毕业生（其中美术、音乐学科可非师范类）；</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4.2017年全日制教育专业的应届硕士研究生或本科为师范类的硕士研究生（其中美术、音乐学科可非师范类）；</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5.镇海区户籍的具有全日制本科及以上学历人员，且持有相应学科教师资格证（户籍以2017年1月1日的户口所在地为准）；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6.年龄在35周岁以下，具有全日制本科及以上学历，在宁波大市内中小学任教相应学科三学年及以上（截止2017年7月31日）且现仍在岗（需单位证明），持有相应学科教师资格证，并符合以下条件之一：①获得各县市区教育部门颁发的区级教坛新秀三等奖或区级单项教学业务比赛二等奖及以上荣誉；②获得宁波市市级教研、教科等教育部门颁发的教学类比赛二等奖及以上荣誉证书。</w:t>
            </w:r>
          </w:p>
        </w:tc>
      </w:tr>
      <w:tr>
        <w:tblPrEx>
          <w:shd w:val="clear"/>
          <w:tblLayout w:type="fixed"/>
          <w:tblCellMar>
            <w:top w:w="0" w:type="dxa"/>
            <w:left w:w="108" w:type="dxa"/>
            <w:bottom w:w="0" w:type="dxa"/>
            <w:right w:w="108" w:type="dxa"/>
          </w:tblCellMar>
        </w:tblPrEx>
        <w:trPr>
          <w:trHeight w:val="820"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333333"/>
                <w:kern w:val="0"/>
                <w:sz w:val="18"/>
                <w:szCs w:val="18"/>
                <w:bdr w:val="none" w:color="auto" w:sz="0" w:space="0"/>
                <w:lang w:val="en-US" w:eastAsia="zh-CN" w:bidi="ar"/>
              </w:rPr>
              <w:t>高中地理</w:t>
            </w:r>
          </w:p>
        </w:tc>
        <w:tc>
          <w:tcPr>
            <w:tcW w:w="40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333333"/>
                <w:kern w:val="0"/>
                <w:sz w:val="18"/>
                <w:szCs w:val="18"/>
                <w:bdr w:val="none" w:color="auto" w:sz="0" w:space="0"/>
                <w:lang w:val="en-US" w:eastAsia="zh-CN" w:bidi="ar"/>
              </w:rPr>
              <w:t>地理科学、自然地理与资源环境、地理信息科学、自然地理学、人文地理学</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670"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小学语文岗位一</w:t>
            </w:r>
          </w:p>
        </w:tc>
        <w:tc>
          <w:tcPr>
            <w:tcW w:w="402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语文、语文教育、汉语言文学、汉语言文学教育、对外汉语、中国古代文学、中国现当代文学、语言学与应用语言学、小学教育（中文）初等教育（中文）</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540"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小学语文岗位二</w:t>
            </w:r>
          </w:p>
        </w:tc>
        <w:tc>
          <w:tcPr>
            <w:tcW w:w="402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852"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岗位一</w:t>
            </w:r>
          </w:p>
        </w:tc>
        <w:tc>
          <w:tcPr>
            <w:tcW w:w="402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数学、数学与应用数学、信息与计算科学、数学教育、数学课程与教学论、学科教学（数学）、基础数学、计算数学、应用数学、初等教育（数学）、小学教育（数学）</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165"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岗位二</w:t>
            </w:r>
          </w:p>
        </w:tc>
        <w:tc>
          <w:tcPr>
            <w:tcW w:w="402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465"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小学科学</w:t>
            </w:r>
          </w:p>
        </w:tc>
        <w:tc>
          <w:tcPr>
            <w:tcW w:w="40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物理、物理学、应用物理学、物理教育、化学、应用化学、化学教育、生物、生物科学、生物技术、生物工程、生物系统工程、生物教育、科学教育、地理科学、地理、地理教育、小学科学</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461"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初中音乐</w:t>
            </w:r>
          </w:p>
        </w:tc>
        <w:tc>
          <w:tcPr>
            <w:tcW w:w="402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音乐、音乐学、音乐表演、音乐教育、音乐教育学、舞蹈学、舞蹈表演</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157"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小学音乐</w:t>
            </w:r>
          </w:p>
        </w:tc>
        <w:tc>
          <w:tcPr>
            <w:tcW w:w="402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285"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初中美术</w:t>
            </w:r>
          </w:p>
        </w:tc>
        <w:tc>
          <w:tcPr>
            <w:tcW w:w="402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美术学、美术教育、绘画、油画、版画、中国画、书法学</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330"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小学美术</w:t>
            </w:r>
          </w:p>
        </w:tc>
        <w:tc>
          <w:tcPr>
            <w:tcW w:w="402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408"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初中体育</w:t>
            </w:r>
          </w:p>
        </w:tc>
        <w:tc>
          <w:tcPr>
            <w:tcW w:w="402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体育教育、社会体育指导与管理、社会体育、运动人体科学、运动训练、学科教学（体育）</w:t>
            </w: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367"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小学体育</w:t>
            </w:r>
          </w:p>
        </w:tc>
        <w:tc>
          <w:tcPr>
            <w:tcW w:w="402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c>
          <w:tcPr>
            <w:tcW w:w="41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33333"/>
                <w:sz w:val="15"/>
                <w:szCs w:val="15"/>
              </w:rPr>
            </w:pPr>
          </w:p>
        </w:tc>
      </w:tr>
      <w:tr>
        <w:tblPrEx>
          <w:shd w:val="clear"/>
          <w:tblLayout w:type="fixed"/>
          <w:tblCellMar>
            <w:top w:w="0" w:type="dxa"/>
            <w:left w:w="108" w:type="dxa"/>
            <w:bottom w:w="0" w:type="dxa"/>
            <w:right w:w="108" w:type="dxa"/>
          </w:tblCellMar>
        </w:tblPrEx>
        <w:trPr>
          <w:trHeight w:val="5908" w:hRule="atLeast"/>
          <w:jc w:val="center"/>
        </w:trPr>
        <w:tc>
          <w:tcPr>
            <w:tcW w:w="101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幼教</w:t>
            </w:r>
          </w:p>
        </w:tc>
        <w:tc>
          <w:tcPr>
            <w:tcW w:w="40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学前教育专业</w:t>
            </w:r>
          </w:p>
        </w:tc>
        <w:tc>
          <w:tcPr>
            <w:tcW w:w="414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符合下列五项条件之一：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1.镇海区生源或户籍的2017年全日制普通高校应届专科及以上毕业生；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 xml:space="preserve">2.宁波市生源或户籍的2017年全日制应届师范类专业本科及以上毕业生； </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3.本省生源或户籍的2017年全日制应届浙师大、杭师大等师范类院校及宁波大学相应师范类专业本科及以上毕业生；</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4.镇海区户籍的具有本科及以上学历且大专为全日制的人员，持有相应学科教师资格证（户籍以2017年1月1日的户口所在地为准）；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18"/>
                <w:szCs w:val="18"/>
                <w:bdr w:val="none" w:color="auto" w:sz="0" w:space="0"/>
                <w:lang w:val="en-US" w:eastAsia="zh-CN" w:bidi="ar"/>
              </w:rPr>
              <w:t>5.年龄在35周岁以下，具有全日制大专及以上学历，在宁波大市内六班以上规模幼儿园任教三学年及以上（截止2017年7月31日）且现仍在岗（需单位证明），持有相应学科教师资格证，并符合以下条件之一：①获得各县市区教育部门颁发的区级教坛新秀三等奖或区级单项教学业务比赛二等奖及以上荣誉；②获得宁波市市级教研、教科、教育学会等教育部门颁发的教学类比赛二等奖及以上荣誉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067B9"/>
    <w:rsid w:val="421067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000000"/>
      <w:sz w:val="15"/>
      <w:szCs w:val="15"/>
      <w:u w:val="none"/>
    </w:rPr>
  </w:style>
  <w:style w:type="character" w:styleId="4">
    <w:name w:val="Hyperlink"/>
    <w:basedOn w:val="2"/>
    <w:uiPriority w:val="0"/>
    <w:rPr>
      <w:rFonts w:hint="eastAsia" w:ascii="宋体" w:hAnsi="宋体" w:eastAsia="宋体" w:cs="宋体"/>
      <w:color w:val="000000"/>
      <w:sz w:val="15"/>
      <w:szCs w:val="15"/>
      <w:u w:val="none"/>
    </w:rPr>
  </w:style>
  <w:style w:type="character" w:customStyle="1" w:styleId="6">
    <w:name w:val="current-btn"/>
    <w:basedOn w:val="2"/>
    <w:uiPriority w:val="0"/>
    <w:rPr>
      <w:b/>
      <w:color w:val="FFFFFF"/>
      <w:sz w:val="12"/>
      <w:szCs w:val="12"/>
      <w:bdr w:val="single" w:color="066AB1" w:sz="4" w:space="0"/>
      <w:shd w:val="clear" w:fill="0884D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2017-01-23T07:57:00Z</dcterms:created>
  <dc:creator>ASUS</dc:creator>
  <cp:lastModifiedBy>ASUS</cp:lastModifiedBy>
  <dcterms:modified xsi:type="dcterms:W3CDTF">2017-01-23T07:57:41Z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